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741DD" w14:textId="77777777" w:rsidR="00F96D69" w:rsidRPr="0081013E" w:rsidRDefault="003572EB" w:rsidP="001A739D">
      <w:pPr>
        <w:spacing w:line="240" w:lineRule="auto"/>
        <w:ind w:right="-187"/>
        <w:rPr>
          <w:b/>
        </w:rPr>
      </w:pPr>
      <w:r w:rsidRPr="0081013E">
        <w:rPr>
          <w:b/>
          <w:color w:val="2F5496" w:themeColor="accent5" w:themeShade="BF"/>
          <w:sz w:val="28"/>
        </w:rPr>
        <w:t xml:space="preserve">HCSRN </w:t>
      </w:r>
      <w:r w:rsidRPr="005709F0">
        <w:rPr>
          <w:b/>
          <w:color w:val="2F5496" w:themeColor="accent5" w:themeShade="BF"/>
          <w:sz w:val="28"/>
        </w:rPr>
        <w:t>Expectations</w:t>
      </w:r>
      <w:r w:rsidRPr="0081013E">
        <w:rPr>
          <w:b/>
          <w:color w:val="2F5496" w:themeColor="accent5" w:themeShade="BF"/>
          <w:sz w:val="28"/>
        </w:rPr>
        <w:t xml:space="preserve"> of Members</w:t>
      </w:r>
      <w:r w:rsidR="00913EB0" w:rsidRPr="0081013E">
        <w:rPr>
          <w:b/>
          <w:color w:val="2F5496" w:themeColor="accent5" w:themeShade="BF"/>
          <w:sz w:val="28"/>
        </w:rPr>
        <w:t xml:space="preserve"> </w:t>
      </w:r>
      <w:r w:rsidR="00BF4F0B">
        <w:rPr>
          <w:b/>
          <w:color w:val="2F5496" w:themeColor="accent5" w:themeShade="BF"/>
          <w:sz w:val="28"/>
        </w:rPr>
        <w:t>&amp; Governing Board Represe</w:t>
      </w:r>
      <w:bookmarkStart w:id="0" w:name="_GoBack"/>
      <w:bookmarkEnd w:id="0"/>
      <w:r w:rsidR="00BF4F0B">
        <w:rPr>
          <w:b/>
          <w:color w:val="2F5496" w:themeColor="accent5" w:themeShade="BF"/>
          <w:sz w:val="28"/>
        </w:rPr>
        <w:t>ntatives</w:t>
      </w:r>
    </w:p>
    <w:p w14:paraId="2E865F67" w14:textId="77777777" w:rsidR="00F96D69" w:rsidRDefault="000C69DA" w:rsidP="00F96D69">
      <w:r>
        <w:pict w14:anchorId="4FD04510">
          <v:rect id="_x0000_i1025" style="width:0;height:1.5pt" o:hralign="center" o:hrstd="t" o:hr="t" fillcolor="#a0a0a0" stroked="f"/>
        </w:pict>
      </w:r>
    </w:p>
    <w:p w14:paraId="7406BB06" w14:textId="77777777" w:rsidR="003D336E" w:rsidRPr="00470532" w:rsidRDefault="001A739D" w:rsidP="001A739D">
      <w:pPr>
        <w:pStyle w:val="ListParagraph"/>
        <w:spacing w:before="60"/>
        <w:ind w:left="0"/>
        <w:contextualSpacing w:val="0"/>
        <w:rPr>
          <w:i/>
          <w:sz w:val="21"/>
          <w:szCs w:val="21"/>
        </w:rPr>
      </w:pPr>
      <w:r w:rsidRPr="00470532">
        <w:rPr>
          <w:i/>
          <w:sz w:val="21"/>
          <w:szCs w:val="21"/>
        </w:rPr>
        <w:t xml:space="preserve">This document describes participation by HCSRN member organizations in </w:t>
      </w:r>
      <w:r w:rsidR="00470532">
        <w:rPr>
          <w:i/>
          <w:sz w:val="21"/>
          <w:szCs w:val="21"/>
        </w:rPr>
        <w:t xml:space="preserve">the </w:t>
      </w:r>
      <w:r w:rsidRPr="00470532">
        <w:rPr>
          <w:i/>
          <w:sz w:val="21"/>
          <w:szCs w:val="21"/>
        </w:rPr>
        <w:t>key domains</w:t>
      </w:r>
      <w:r w:rsidR="00470532">
        <w:rPr>
          <w:i/>
          <w:sz w:val="21"/>
          <w:szCs w:val="21"/>
        </w:rPr>
        <w:t xml:space="preserve"> below</w:t>
      </w:r>
      <w:r w:rsidRPr="00470532">
        <w:rPr>
          <w:i/>
          <w:sz w:val="21"/>
          <w:szCs w:val="21"/>
        </w:rPr>
        <w:t>.</w:t>
      </w:r>
      <w:r w:rsidR="003D336E" w:rsidRPr="00470532">
        <w:rPr>
          <w:i/>
          <w:sz w:val="21"/>
          <w:szCs w:val="21"/>
        </w:rPr>
        <w:t xml:space="preserve"> While it may not be possible for every member to comply with every listed item at all times, we </w:t>
      </w:r>
      <w:r w:rsidRPr="00470532">
        <w:rPr>
          <w:i/>
          <w:sz w:val="21"/>
          <w:szCs w:val="21"/>
        </w:rPr>
        <w:t>require</w:t>
      </w:r>
      <w:r w:rsidR="003D336E" w:rsidRPr="00470532">
        <w:rPr>
          <w:i/>
          <w:sz w:val="21"/>
          <w:szCs w:val="21"/>
        </w:rPr>
        <w:t xml:space="preserve"> that members be transparent and forthcoming if they </w:t>
      </w:r>
      <w:r w:rsidRPr="00470532">
        <w:rPr>
          <w:i/>
          <w:sz w:val="21"/>
          <w:szCs w:val="21"/>
        </w:rPr>
        <w:t>cannot meet one or more expectations</w:t>
      </w:r>
      <w:r w:rsidR="003D336E" w:rsidRPr="00470532">
        <w:rPr>
          <w:i/>
          <w:sz w:val="21"/>
          <w:szCs w:val="21"/>
        </w:rPr>
        <w:t xml:space="preserve"> for a given period of time. It is understood that changes at the health system or research center, or other </w:t>
      </w:r>
      <w:r w:rsidRPr="00470532">
        <w:rPr>
          <w:i/>
          <w:sz w:val="21"/>
          <w:szCs w:val="21"/>
        </w:rPr>
        <w:t>factors</w:t>
      </w:r>
      <w:r w:rsidR="003D336E" w:rsidRPr="00470532">
        <w:rPr>
          <w:i/>
          <w:sz w:val="21"/>
          <w:szCs w:val="21"/>
        </w:rPr>
        <w:t xml:space="preserve"> may affect a member’s ability to participate fully in each of these domains </w:t>
      </w:r>
      <w:r w:rsidRPr="00470532">
        <w:rPr>
          <w:i/>
          <w:sz w:val="21"/>
          <w:szCs w:val="21"/>
        </w:rPr>
        <w:t>at times</w:t>
      </w:r>
      <w:r w:rsidR="003D336E" w:rsidRPr="00470532">
        <w:rPr>
          <w:i/>
          <w:sz w:val="21"/>
          <w:szCs w:val="21"/>
        </w:rPr>
        <w:t>.</w:t>
      </w:r>
    </w:p>
    <w:p w14:paraId="4141BDC8" w14:textId="27C07CEB" w:rsidR="001A739D" w:rsidRPr="001A739D" w:rsidRDefault="001A739D" w:rsidP="00470532">
      <w:pPr>
        <w:pStyle w:val="ListParagraph"/>
        <w:numPr>
          <w:ilvl w:val="0"/>
          <w:numId w:val="3"/>
        </w:numPr>
        <w:spacing w:before="240"/>
        <w:ind w:left="360"/>
        <w:contextualSpacing w:val="0"/>
        <w:rPr>
          <w:b/>
        </w:rPr>
      </w:pPr>
      <w:r w:rsidRPr="003C4514">
        <w:rPr>
          <w:b/>
          <w:i/>
          <w:u w:val="single"/>
        </w:rPr>
        <w:t>Required</w:t>
      </w:r>
      <w:r w:rsidRPr="001A739D">
        <w:rPr>
          <w:b/>
        </w:rPr>
        <w:t>: Pay for annual membership</w:t>
      </w:r>
      <w:r w:rsidR="00BE0FEE">
        <w:rPr>
          <w:b/>
        </w:rPr>
        <w:t xml:space="preserve"> and one time </w:t>
      </w:r>
      <w:r w:rsidR="00DD25EB">
        <w:rPr>
          <w:b/>
        </w:rPr>
        <w:t>onboarding</w:t>
      </w:r>
      <w:r w:rsidRPr="001A739D">
        <w:rPr>
          <w:b/>
        </w:rPr>
        <w:t xml:space="preserve"> </w:t>
      </w:r>
      <w:r w:rsidR="00BE0FEE">
        <w:rPr>
          <w:b/>
        </w:rPr>
        <w:t xml:space="preserve">fee </w:t>
      </w:r>
      <w:r w:rsidRPr="001A739D">
        <w:rPr>
          <w:b/>
        </w:rPr>
        <w:t>according to dues</w:t>
      </w:r>
      <w:r w:rsidR="00DD25EB">
        <w:rPr>
          <w:b/>
        </w:rPr>
        <w:t xml:space="preserve"> and fees</w:t>
      </w:r>
      <w:r w:rsidRPr="001A739D">
        <w:rPr>
          <w:b/>
        </w:rPr>
        <w:t xml:space="preserve"> set by the Governing Board </w:t>
      </w:r>
    </w:p>
    <w:p w14:paraId="121A6B04" w14:textId="77777777" w:rsidR="00D70A19" w:rsidRPr="001A739D" w:rsidRDefault="00D70A19" w:rsidP="00470532">
      <w:pPr>
        <w:pStyle w:val="ListParagraph"/>
        <w:numPr>
          <w:ilvl w:val="0"/>
          <w:numId w:val="3"/>
        </w:numPr>
        <w:spacing w:before="180"/>
        <w:ind w:left="360"/>
        <w:contextualSpacing w:val="0"/>
        <w:rPr>
          <w:b/>
        </w:rPr>
      </w:pPr>
      <w:r w:rsidRPr="003C4514">
        <w:rPr>
          <w:b/>
          <w:i/>
          <w:u w:val="single"/>
        </w:rPr>
        <w:t>Required</w:t>
      </w:r>
      <w:r w:rsidRPr="001A739D">
        <w:rPr>
          <w:b/>
        </w:rPr>
        <w:t xml:space="preserve">: </w:t>
      </w:r>
      <w:r w:rsidR="003C4514">
        <w:rPr>
          <w:b/>
        </w:rPr>
        <w:t xml:space="preserve">Create </w:t>
      </w:r>
      <w:r w:rsidRPr="001A739D">
        <w:rPr>
          <w:b/>
        </w:rPr>
        <w:t>Data Infrastructure</w:t>
      </w:r>
      <w:r w:rsidR="003C4514">
        <w:rPr>
          <w:b/>
        </w:rPr>
        <w:t xml:space="preserve"> for research, as described below</w:t>
      </w:r>
    </w:p>
    <w:p w14:paraId="1A882543" w14:textId="491E2595" w:rsidR="00D70A19" w:rsidRPr="001A739D" w:rsidRDefault="00D70A19" w:rsidP="00470532">
      <w:pPr>
        <w:pStyle w:val="ListParagraph"/>
        <w:numPr>
          <w:ilvl w:val="0"/>
          <w:numId w:val="4"/>
        </w:numPr>
        <w:spacing w:before="60"/>
        <w:ind w:left="720" w:right="-18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 xml:space="preserve">Identify </w:t>
      </w:r>
      <w:r w:rsidRPr="00470532">
        <w:rPr>
          <w:sz w:val="21"/>
          <w:szCs w:val="21"/>
        </w:rPr>
        <w:t xml:space="preserve">at least one Site Data Manager (SDM) to work on data infrastructure development, and </w:t>
      </w:r>
      <w:r w:rsidR="00BE0FEE">
        <w:rPr>
          <w:sz w:val="21"/>
          <w:szCs w:val="21"/>
        </w:rPr>
        <w:t xml:space="preserve">consistently </w:t>
      </w:r>
      <w:r w:rsidRPr="00470532">
        <w:rPr>
          <w:sz w:val="21"/>
          <w:szCs w:val="21"/>
        </w:rPr>
        <w:t>participate in at least one data area work group</w:t>
      </w:r>
    </w:p>
    <w:p w14:paraId="740A46A4" w14:textId="1E85107A" w:rsidR="00D70A19" w:rsidRPr="001A739D" w:rsidRDefault="00D70A19" w:rsidP="00470532">
      <w:pPr>
        <w:pStyle w:val="ListParagraph"/>
        <w:numPr>
          <w:ilvl w:val="0"/>
          <w:numId w:val="4"/>
        </w:numPr>
        <w:spacing w:before="60"/>
        <w:ind w:left="72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>Designate and ensure travel support for at least one SDM/analyst to participate in two in-person meetings per year</w:t>
      </w:r>
      <w:r w:rsidR="00162B48">
        <w:rPr>
          <w:sz w:val="21"/>
          <w:szCs w:val="21"/>
        </w:rPr>
        <w:t xml:space="preserve"> if/when available </w:t>
      </w:r>
      <w:r w:rsidRPr="001A739D">
        <w:rPr>
          <w:sz w:val="21"/>
          <w:szCs w:val="21"/>
        </w:rPr>
        <w:t xml:space="preserve"> (Spring Conference &amp; Mid-Year VDW Meeting)</w:t>
      </w:r>
    </w:p>
    <w:p w14:paraId="4944F079" w14:textId="77777777" w:rsidR="00D70A19" w:rsidRPr="001A739D" w:rsidRDefault="00D70A19" w:rsidP="00470532">
      <w:pPr>
        <w:pStyle w:val="ListParagraph"/>
        <w:numPr>
          <w:ilvl w:val="0"/>
          <w:numId w:val="4"/>
        </w:numPr>
        <w:spacing w:before="60"/>
        <w:ind w:left="72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 xml:space="preserve">Develop, </w:t>
      </w:r>
      <w:r w:rsidRPr="00470532">
        <w:rPr>
          <w:sz w:val="21"/>
          <w:szCs w:val="21"/>
        </w:rPr>
        <w:t xml:space="preserve">demonstrate, and </w:t>
      </w:r>
      <w:r w:rsidRPr="001A739D">
        <w:rPr>
          <w:sz w:val="21"/>
          <w:szCs w:val="21"/>
        </w:rPr>
        <w:t>maintain the ability to rapidly query local data in response to collaboration inquiries; this entails having the capability at a site to run VDW macros against local data, which may be generated by HCSRN other site data managers</w:t>
      </w:r>
    </w:p>
    <w:p w14:paraId="74CA2533" w14:textId="77777777" w:rsidR="00D70A19" w:rsidRPr="001A739D" w:rsidRDefault="00D70A19" w:rsidP="00470532">
      <w:pPr>
        <w:pStyle w:val="ListParagraph"/>
        <w:numPr>
          <w:ilvl w:val="0"/>
          <w:numId w:val="4"/>
        </w:numPr>
        <w:spacing w:before="60" w:line="240" w:lineRule="auto"/>
        <w:ind w:left="72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 xml:space="preserve">Based on the Board definition of </w:t>
      </w:r>
      <w:r w:rsidRPr="001A739D">
        <w:rPr>
          <w:color w:val="0070C0"/>
          <w:sz w:val="21"/>
          <w:szCs w:val="21"/>
        </w:rPr>
        <w:t>core</w:t>
      </w:r>
      <w:r w:rsidRPr="001A739D">
        <w:rPr>
          <w:rStyle w:val="FootnoteReference"/>
          <w:color w:val="0070C0"/>
          <w:sz w:val="21"/>
          <w:szCs w:val="21"/>
        </w:rPr>
        <w:footnoteReference w:id="1"/>
      </w:r>
      <w:r w:rsidRPr="001A739D">
        <w:rPr>
          <w:color w:val="0070C0"/>
          <w:sz w:val="21"/>
          <w:szCs w:val="21"/>
          <w:vertAlign w:val="superscript"/>
        </w:rPr>
        <w:t xml:space="preserve"> </w:t>
      </w:r>
      <w:r w:rsidRPr="001A739D">
        <w:rPr>
          <w:sz w:val="21"/>
          <w:szCs w:val="21"/>
        </w:rPr>
        <w:t xml:space="preserve">data areas of the HCSRN VDW Common Data Model, </w:t>
      </w:r>
      <w:r w:rsidRPr="00470532">
        <w:rPr>
          <w:sz w:val="21"/>
          <w:szCs w:val="21"/>
        </w:rPr>
        <w:t xml:space="preserve">demonstrate and </w:t>
      </w:r>
      <w:r w:rsidRPr="001A739D">
        <w:rPr>
          <w:sz w:val="21"/>
          <w:szCs w:val="21"/>
        </w:rPr>
        <w:t xml:space="preserve">maintain the ability to map local data to the VDW or compatible data model </w:t>
      </w:r>
    </w:p>
    <w:p w14:paraId="0A020E2A" w14:textId="31F50965" w:rsidR="00D70A19" w:rsidRPr="001A739D" w:rsidRDefault="00D70A19" w:rsidP="00470532">
      <w:pPr>
        <w:pStyle w:val="ListParagraph"/>
        <w:numPr>
          <w:ilvl w:val="0"/>
          <w:numId w:val="4"/>
        </w:numPr>
        <w:spacing w:before="60"/>
        <w:ind w:left="72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>Participate in data quality control/quality assurance activities as directed</w:t>
      </w:r>
      <w:r w:rsidR="004658D4">
        <w:rPr>
          <w:sz w:val="21"/>
          <w:szCs w:val="21"/>
        </w:rPr>
        <w:t xml:space="preserve"> including yearly/ ad hoc data table QA </w:t>
      </w:r>
    </w:p>
    <w:p w14:paraId="0BE625D2" w14:textId="77777777" w:rsidR="00D70A19" w:rsidRPr="00470532" w:rsidRDefault="00D70A19" w:rsidP="00470532">
      <w:pPr>
        <w:pStyle w:val="ListParagraph"/>
        <w:numPr>
          <w:ilvl w:val="0"/>
          <w:numId w:val="4"/>
        </w:numPr>
        <w:spacing w:before="60"/>
        <w:ind w:left="720"/>
        <w:contextualSpacing w:val="0"/>
        <w:rPr>
          <w:sz w:val="21"/>
          <w:szCs w:val="21"/>
        </w:rPr>
      </w:pPr>
      <w:r w:rsidRPr="00470532">
        <w:rPr>
          <w:sz w:val="21"/>
          <w:szCs w:val="21"/>
        </w:rPr>
        <w:t>Develop and transparently validate specific definition(s) of denominator populations, based on insurance coverage or some other indicator of likely data capture</w:t>
      </w:r>
    </w:p>
    <w:p w14:paraId="1745A47C" w14:textId="77777777" w:rsidR="00BB1184" w:rsidRPr="003C4514" w:rsidRDefault="00BB1184" w:rsidP="003C4514">
      <w:pPr>
        <w:rPr>
          <w:b/>
          <w:sz w:val="18"/>
        </w:rPr>
      </w:pPr>
    </w:p>
    <w:p w14:paraId="65C3EF8D" w14:textId="77777777" w:rsidR="00F96D69" w:rsidRPr="0081013E" w:rsidRDefault="003C4514" w:rsidP="00470532">
      <w:pPr>
        <w:pStyle w:val="ListParagraph"/>
        <w:numPr>
          <w:ilvl w:val="0"/>
          <w:numId w:val="3"/>
        </w:numPr>
        <w:ind w:left="360"/>
        <w:contextualSpacing w:val="0"/>
        <w:rPr>
          <w:b/>
        </w:rPr>
      </w:pPr>
      <w:r>
        <w:rPr>
          <w:b/>
        </w:rPr>
        <w:t xml:space="preserve">Expected: </w:t>
      </w:r>
      <w:r w:rsidR="00F96D69" w:rsidRPr="0081013E">
        <w:rPr>
          <w:b/>
        </w:rPr>
        <w:t>Board Governance</w:t>
      </w:r>
    </w:p>
    <w:p w14:paraId="28C9F181" w14:textId="77777777" w:rsidR="00F96D69" w:rsidRPr="001A739D" w:rsidRDefault="00F96D69" w:rsidP="00470532">
      <w:pPr>
        <w:pStyle w:val="ListParagraph"/>
        <w:numPr>
          <w:ilvl w:val="0"/>
          <w:numId w:val="4"/>
        </w:numPr>
        <w:spacing w:before="60" w:line="240" w:lineRule="auto"/>
        <w:ind w:left="72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>Provide a representative for all Board meetings (face to face and by phone), including identification of a designee when the primary Board representative is unavailable</w:t>
      </w:r>
    </w:p>
    <w:p w14:paraId="6642B050" w14:textId="77777777" w:rsidR="00F96D69" w:rsidRPr="001A739D" w:rsidRDefault="00F96D69" w:rsidP="00470532">
      <w:pPr>
        <w:pStyle w:val="ListParagraph"/>
        <w:numPr>
          <w:ilvl w:val="0"/>
          <w:numId w:val="4"/>
        </w:numPr>
        <w:spacing w:before="60" w:line="240" w:lineRule="auto"/>
        <w:ind w:left="72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 xml:space="preserve">Balance the needs of the HCSRN and the needs of your own organization </w:t>
      </w:r>
    </w:p>
    <w:p w14:paraId="2772CDB9" w14:textId="3F8DD97E" w:rsidR="007478A2" w:rsidRPr="003C4514" w:rsidRDefault="007478A2" w:rsidP="00470532">
      <w:pPr>
        <w:pStyle w:val="ListParagraph"/>
        <w:numPr>
          <w:ilvl w:val="0"/>
          <w:numId w:val="4"/>
        </w:numPr>
        <w:spacing w:before="60" w:line="240" w:lineRule="auto"/>
        <w:ind w:left="720"/>
        <w:contextualSpacing w:val="0"/>
      </w:pPr>
      <w:r w:rsidRPr="001A739D">
        <w:rPr>
          <w:sz w:val="21"/>
          <w:szCs w:val="21"/>
        </w:rPr>
        <w:t xml:space="preserve">Fulfill </w:t>
      </w:r>
      <w:r w:rsidR="005C0169">
        <w:rPr>
          <w:sz w:val="21"/>
          <w:szCs w:val="21"/>
        </w:rPr>
        <w:t xml:space="preserve">periodic </w:t>
      </w:r>
      <w:r w:rsidRPr="001A739D">
        <w:rPr>
          <w:sz w:val="21"/>
          <w:szCs w:val="21"/>
        </w:rPr>
        <w:t>requests of Board members, including serving as a</w:t>
      </w:r>
      <w:r w:rsidR="005C0169">
        <w:rPr>
          <w:sz w:val="21"/>
          <w:szCs w:val="21"/>
        </w:rPr>
        <w:t>n</w:t>
      </w:r>
      <w:r w:rsidRPr="001A739D">
        <w:rPr>
          <w:sz w:val="21"/>
          <w:szCs w:val="21"/>
        </w:rPr>
        <w:t xml:space="preserve"> information conduit to your faculty as opportunities or arise or information is requested</w:t>
      </w:r>
    </w:p>
    <w:p w14:paraId="7A4AF1D1" w14:textId="77777777" w:rsidR="003C4514" w:rsidRDefault="003C4514" w:rsidP="003C4514">
      <w:pPr>
        <w:pStyle w:val="ListParagraph"/>
        <w:spacing w:before="60" w:line="240" w:lineRule="auto"/>
        <w:contextualSpacing w:val="0"/>
      </w:pPr>
    </w:p>
    <w:p w14:paraId="282BE74C" w14:textId="77777777" w:rsidR="003C4514" w:rsidRPr="0081013E" w:rsidRDefault="003C4514" w:rsidP="003C4514">
      <w:pPr>
        <w:pStyle w:val="ListParagraph"/>
        <w:numPr>
          <w:ilvl w:val="0"/>
          <w:numId w:val="3"/>
        </w:numPr>
        <w:ind w:left="360"/>
        <w:rPr>
          <w:b/>
        </w:rPr>
      </w:pPr>
      <w:r>
        <w:rPr>
          <w:b/>
        </w:rPr>
        <w:t xml:space="preserve">Expected: </w:t>
      </w:r>
      <w:r w:rsidRPr="0081013E">
        <w:rPr>
          <w:b/>
        </w:rPr>
        <w:t xml:space="preserve">Collaboration </w:t>
      </w:r>
    </w:p>
    <w:p w14:paraId="37551891" w14:textId="77777777" w:rsidR="003C4514" w:rsidRPr="001A739D" w:rsidRDefault="003C4514" w:rsidP="003C4514">
      <w:pPr>
        <w:pStyle w:val="ListParagraph"/>
        <w:numPr>
          <w:ilvl w:val="0"/>
          <w:numId w:val="4"/>
        </w:numPr>
        <w:spacing w:before="60" w:line="240" w:lineRule="auto"/>
        <w:ind w:left="720" w:right="-18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>Enrich, encourage, and contribute to a culture of collaboration in the HCSRN</w:t>
      </w:r>
    </w:p>
    <w:p w14:paraId="569C30DD" w14:textId="77777777" w:rsidR="003C4514" w:rsidRPr="001A739D" w:rsidRDefault="003C4514" w:rsidP="003C4514">
      <w:pPr>
        <w:pStyle w:val="ListParagraph"/>
        <w:numPr>
          <w:ilvl w:val="0"/>
          <w:numId w:val="4"/>
        </w:numPr>
        <w:spacing w:before="60" w:line="240" w:lineRule="auto"/>
        <w:ind w:left="720" w:right="-18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>Support and participate in suitable opportunities to conduct embedded multisite research</w:t>
      </w:r>
    </w:p>
    <w:p w14:paraId="410B8559" w14:textId="77777777" w:rsidR="003C4514" w:rsidRPr="001A739D" w:rsidRDefault="003C4514" w:rsidP="003C4514">
      <w:pPr>
        <w:pStyle w:val="ListParagraph"/>
        <w:numPr>
          <w:ilvl w:val="0"/>
          <w:numId w:val="4"/>
        </w:numPr>
        <w:spacing w:before="60" w:line="240" w:lineRule="auto"/>
        <w:ind w:left="72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>Respond to pertinent inquiries about collaboration on new research projects</w:t>
      </w:r>
    </w:p>
    <w:p w14:paraId="720772DB" w14:textId="77777777" w:rsidR="003C4514" w:rsidRPr="001A739D" w:rsidRDefault="003C4514" w:rsidP="003C4514">
      <w:pPr>
        <w:pStyle w:val="ListParagraph"/>
        <w:numPr>
          <w:ilvl w:val="0"/>
          <w:numId w:val="4"/>
        </w:numPr>
        <w:spacing w:before="60" w:line="240" w:lineRule="auto"/>
        <w:ind w:left="720" w:right="-18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>Identify an administrative point of contact to facilitate collaboration on multi-site proposals</w:t>
      </w:r>
    </w:p>
    <w:p w14:paraId="22CE3F5C" w14:textId="77777777" w:rsidR="00F96D69" w:rsidRPr="00470532" w:rsidRDefault="00F96D69" w:rsidP="00913EB0">
      <w:pPr>
        <w:rPr>
          <w:sz w:val="18"/>
          <w:szCs w:val="12"/>
        </w:rPr>
      </w:pPr>
    </w:p>
    <w:p w14:paraId="5D617361" w14:textId="77777777" w:rsidR="00F96D69" w:rsidRPr="0081013E" w:rsidRDefault="003C4514" w:rsidP="00470532">
      <w:pPr>
        <w:pStyle w:val="ListParagraph"/>
        <w:numPr>
          <w:ilvl w:val="0"/>
          <w:numId w:val="3"/>
        </w:numPr>
        <w:ind w:left="360"/>
        <w:contextualSpacing w:val="0"/>
        <w:rPr>
          <w:b/>
        </w:rPr>
      </w:pPr>
      <w:r>
        <w:rPr>
          <w:b/>
        </w:rPr>
        <w:t>Expected: Committee and Workgroup Participation</w:t>
      </w:r>
    </w:p>
    <w:p w14:paraId="7E942A99" w14:textId="76F3DC77" w:rsidR="00F96D69" w:rsidRPr="001A739D" w:rsidRDefault="00F96D69" w:rsidP="00470532">
      <w:pPr>
        <w:pStyle w:val="ListParagraph"/>
        <w:numPr>
          <w:ilvl w:val="0"/>
          <w:numId w:val="4"/>
        </w:numPr>
        <w:spacing w:before="60" w:line="240" w:lineRule="auto"/>
        <w:ind w:left="72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 xml:space="preserve">Provide a member </w:t>
      </w:r>
      <w:r w:rsidR="00162B48">
        <w:rPr>
          <w:sz w:val="21"/>
          <w:szCs w:val="21"/>
        </w:rPr>
        <w:t xml:space="preserve">to serve on HCSRN ad hoc committees as they are formed </w:t>
      </w:r>
    </w:p>
    <w:p w14:paraId="15333209" w14:textId="77777777" w:rsidR="00BB1184" w:rsidRPr="001A739D" w:rsidRDefault="007478A2" w:rsidP="00470532">
      <w:pPr>
        <w:pStyle w:val="ListParagraph"/>
        <w:numPr>
          <w:ilvl w:val="0"/>
          <w:numId w:val="4"/>
        </w:numPr>
        <w:spacing w:before="60" w:line="240" w:lineRule="auto"/>
        <w:ind w:left="72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>Identify designees to contribute to the IRB Workgroup</w:t>
      </w:r>
      <w:r w:rsidR="00BB1184" w:rsidRPr="001A739D">
        <w:rPr>
          <w:sz w:val="21"/>
          <w:szCs w:val="21"/>
        </w:rPr>
        <w:t xml:space="preserve"> &amp;</w:t>
      </w:r>
      <w:r w:rsidRPr="001A739D">
        <w:rPr>
          <w:sz w:val="21"/>
          <w:szCs w:val="21"/>
        </w:rPr>
        <w:t xml:space="preserve"> Research Administrators </w:t>
      </w:r>
      <w:r w:rsidR="00BB1184" w:rsidRPr="001A739D">
        <w:rPr>
          <w:sz w:val="21"/>
          <w:szCs w:val="21"/>
        </w:rPr>
        <w:t>Forum</w:t>
      </w:r>
    </w:p>
    <w:p w14:paraId="68133FE2" w14:textId="77777777" w:rsidR="007478A2" w:rsidRDefault="00BB1184" w:rsidP="00470532">
      <w:pPr>
        <w:pStyle w:val="ListParagraph"/>
        <w:numPr>
          <w:ilvl w:val="0"/>
          <w:numId w:val="4"/>
        </w:numPr>
        <w:spacing w:before="60" w:line="240" w:lineRule="auto"/>
        <w:ind w:left="72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>Encourage</w:t>
      </w:r>
      <w:r w:rsidR="007478A2" w:rsidRPr="001A739D">
        <w:rPr>
          <w:sz w:val="21"/>
          <w:szCs w:val="21"/>
        </w:rPr>
        <w:t xml:space="preserve"> </w:t>
      </w:r>
      <w:r w:rsidRPr="001A739D">
        <w:rPr>
          <w:sz w:val="21"/>
          <w:szCs w:val="21"/>
        </w:rPr>
        <w:t xml:space="preserve">research center’s faculty and staff to join </w:t>
      </w:r>
      <w:r w:rsidR="007478A2" w:rsidRPr="001A739D">
        <w:rPr>
          <w:sz w:val="21"/>
          <w:szCs w:val="21"/>
        </w:rPr>
        <w:t>Scientific Interest Groups that are congruent with</w:t>
      </w:r>
      <w:r w:rsidRPr="001A739D">
        <w:rPr>
          <w:sz w:val="21"/>
          <w:szCs w:val="21"/>
        </w:rPr>
        <w:t xml:space="preserve"> their interests</w:t>
      </w:r>
    </w:p>
    <w:p w14:paraId="0C6F816F" w14:textId="5B3BBF44" w:rsidR="00C575AC" w:rsidRDefault="00C575AC" w:rsidP="00470532">
      <w:pPr>
        <w:pStyle w:val="ListParagraph"/>
        <w:numPr>
          <w:ilvl w:val="0"/>
          <w:numId w:val="4"/>
        </w:numPr>
        <w:spacing w:before="60" w:line="240" w:lineRule="auto"/>
        <w:ind w:left="720"/>
        <w:contextualSpacing w:val="0"/>
        <w:rPr>
          <w:sz w:val="21"/>
          <w:szCs w:val="21"/>
        </w:rPr>
      </w:pPr>
      <w:r>
        <w:rPr>
          <w:sz w:val="21"/>
          <w:szCs w:val="21"/>
        </w:rPr>
        <w:lastRenderedPageBreak/>
        <w:t>Designate a potential science lead for at least one VDW workgroup</w:t>
      </w:r>
      <w:r w:rsidR="00162B48">
        <w:rPr>
          <w:sz w:val="21"/>
          <w:szCs w:val="21"/>
        </w:rPr>
        <w:t xml:space="preserve"> once full membership is achieved </w:t>
      </w:r>
      <w:r w:rsidR="00BE0FE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</w:p>
    <w:p w14:paraId="2CC536FF" w14:textId="7F0D3F42" w:rsidR="00C575AC" w:rsidRPr="001A739D" w:rsidRDefault="00C575AC" w:rsidP="00470532">
      <w:pPr>
        <w:pStyle w:val="ListParagraph"/>
        <w:numPr>
          <w:ilvl w:val="0"/>
          <w:numId w:val="4"/>
        </w:numPr>
        <w:spacing w:before="60" w:line="240" w:lineRule="auto"/>
        <w:ind w:left="720"/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Identify a potential workgroup lead for at least one VDW workgroup </w:t>
      </w:r>
      <w:r w:rsidR="00BE0FEE">
        <w:rPr>
          <w:sz w:val="21"/>
          <w:szCs w:val="21"/>
        </w:rPr>
        <w:t>within two years of joining the HCSRN</w:t>
      </w:r>
    </w:p>
    <w:p w14:paraId="4586BF48" w14:textId="77777777" w:rsidR="00470532" w:rsidRPr="00470532" w:rsidRDefault="00470532">
      <w:pPr>
        <w:rPr>
          <w:sz w:val="18"/>
          <w:szCs w:val="12"/>
        </w:rPr>
      </w:pPr>
    </w:p>
    <w:p w14:paraId="5D650280" w14:textId="77777777" w:rsidR="00913EB0" w:rsidRPr="00470532" w:rsidRDefault="00913EB0" w:rsidP="00913EB0">
      <w:pPr>
        <w:ind w:right="-180"/>
        <w:rPr>
          <w:sz w:val="18"/>
          <w:szCs w:val="12"/>
        </w:rPr>
      </w:pPr>
    </w:p>
    <w:p w14:paraId="071DBE12" w14:textId="77777777" w:rsidR="00913EB0" w:rsidRPr="0081013E" w:rsidRDefault="003C4514" w:rsidP="00913EB0">
      <w:pPr>
        <w:pStyle w:val="ListParagraph"/>
        <w:numPr>
          <w:ilvl w:val="0"/>
          <w:numId w:val="3"/>
        </w:numPr>
        <w:ind w:left="360"/>
        <w:rPr>
          <w:b/>
        </w:rPr>
      </w:pPr>
      <w:r>
        <w:rPr>
          <w:b/>
        </w:rPr>
        <w:t xml:space="preserve">Expected: Support HCSRN </w:t>
      </w:r>
      <w:r w:rsidR="00913EB0" w:rsidRPr="0081013E">
        <w:rPr>
          <w:b/>
        </w:rPr>
        <w:t>Annual Conference</w:t>
      </w:r>
      <w:r>
        <w:rPr>
          <w:b/>
        </w:rPr>
        <w:t xml:space="preserve"> </w:t>
      </w:r>
    </w:p>
    <w:p w14:paraId="1B117CA7" w14:textId="66C79049" w:rsidR="00913EB0" w:rsidRPr="001A739D" w:rsidRDefault="0081013E" w:rsidP="00470532">
      <w:pPr>
        <w:pStyle w:val="ListParagraph"/>
        <w:numPr>
          <w:ilvl w:val="0"/>
          <w:numId w:val="4"/>
        </w:numPr>
        <w:spacing w:before="60" w:line="240" w:lineRule="auto"/>
        <w:ind w:left="72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 xml:space="preserve">Encourage submissions </w:t>
      </w:r>
      <w:r w:rsidR="005C0169">
        <w:rPr>
          <w:sz w:val="21"/>
          <w:szCs w:val="21"/>
        </w:rPr>
        <w:t>to the</w:t>
      </w:r>
      <w:r w:rsidR="00162B48">
        <w:rPr>
          <w:sz w:val="21"/>
          <w:szCs w:val="21"/>
        </w:rPr>
        <w:t xml:space="preserve"> </w:t>
      </w:r>
      <w:r w:rsidR="005C0169">
        <w:rPr>
          <w:sz w:val="21"/>
          <w:szCs w:val="21"/>
        </w:rPr>
        <w:t xml:space="preserve">annual conference’s </w:t>
      </w:r>
      <w:r w:rsidRPr="001A739D">
        <w:rPr>
          <w:sz w:val="21"/>
          <w:szCs w:val="21"/>
        </w:rPr>
        <w:t>call for abstracts</w:t>
      </w:r>
      <w:r w:rsidR="005C0169">
        <w:rPr>
          <w:sz w:val="21"/>
          <w:szCs w:val="21"/>
        </w:rPr>
        <w:t xml:space="preserve"> </w:t>
      </w:r>
    </w:p>
    <w:p w14:paraId="08E7CA6B" w14:textId="7CEE3E42" w:rsidR="0081013E" w:rsidRDefault="0081013E" w:rsidP="00470532">
      <w:pPr>
        <w:pStyle w:val="ListParagraph"/>
        <w:numPr>
          <w:ilvl w:val="0"/>
          <w:numId w:val="4"/>
        </w:numPr>
        <w:spacing w:before="60" w:line="240" w:lineRule="auto"/>
        <w:ind w:left="72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 xml:space="preserve">Encourage </w:t>
      </w:r>
      <w:r w:rsidR="005C0169">
        <w:rPr>
          <w:sz w:val="21"/>
          <w:szCs w:val="21"/>
        </w:rPr>
        <w:t xml:space="preserve">conference </w:t>
      </w:r>
      <w:r w:rsidRPr="001A739D">
        <w:rPr>
          <w:sz w:val="21"/>
          <w:szCs w:val="21"/>
        </w:rPr>
        <w:t>attendance, especially for early career investigators</w:t>
      </w:r>
    </w:p>
    <w:p w14:paraId="7F2B00A8" w14:textId="2FC52824" w:rsidR="004658D4" w:rsidRPr="001A739D" w:rsidRDefault="004658D4" w:rsidP="00470532">
      <w:pPr>
        <w:pStyle w:val="ListParagraph"/>
        <w:numPr>
          <w:ilvl w:val="0"/>
          <w:numId w:val="4"/>
        </w:numPr>
        <w:spacing w:before="60" w:line="240" w:lineRule="auto"/>
        <w:ind w:left="720"/>
        <w:contextualSpacing w:val="0"/>
        <w:rPr>
          <w:sz w:val="21"/>
          <w:szCs w:val="21"/>
        </w:rPr>
      </w:pPr>
      <w:r>
        <w:rPr>
          <w:sz w:val="21"/>
          <w:szCs w:val="21"/>
        </w:rPr>
        <w:t>Actively reach out to early career investigators for submissions and conference attendance</w:t>
      </w:r>
    </w:p>
    <w:p w14:paraId="3F4D23BE" w14:textId="77777777" w:rsidR="0081013E" w:rsidRPr="001A739D" w:rsidRDefault="0081013E" w:rsidP="00470532">
      <w:pPr>
        <w:pStyle w:val="ListParagraph"/>
        <w:numPr>
          <w:ilvl w:val="0"/>
          <w:numId w:val="4"/>
        </w:numPr>
        <w:spacing w:before="60" w:line="240" w:lineRule="auto"/>
        <w:ind w:left="72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 xml:space="preserve">Participate on standing and ad hoc conference committees </w:t>
      </w:r>
    </w:p>
    <w:p w14:paraId="0D6104B2" w14:textId="77777777" w:rsidR="0081013E" w:rsidRPr="001A739D" w:rsidRDefault="0081013E" w:rsidP="005709F0">
      <w:pPr>
        <w:pStyle w:val="ListParagraph"/>
        <w:numPr>
          <w:ilvl w:val="0"/>
          <w:numId w:val="4"/>
        </w:numPr>
        <w:spacing w:line="240" w:lineRule="auto"/>
        <w:ind w:left="720" w:right="-180"/>
        <w:rPr>
          <w:sz w:val="21"/>
          <w:szCs w:val="21"/>
        </w:rPr>
      </w:pPr>
      <w:r w:rsidRPr="001A739D">
        <w:rPr>
          <w:sz w:val="21"/>
          <w:szCs w:val="21"/>
        </w:rPr>
        <w:t>Identify speakers, abstract reviewers, and other enhancements to the conference program</w:t>
      </w:r>
    </w:p>
    <w:p w14:paraId="5DFDDDE1" w14:textId="77777777" w:rsidR="0081013E" w:rsidRPr="00470532" w:rsidRDefault="0081013E" w:rsidP="00D70A19">
      <w:pPr>
        <w:rPr>
          <w:b/>
          <w:sz w:val="18"/>
          <w:szCs w:val="12"/>
        </w:rPr>
      </w:pPr>
    </w:p>
    <w:p w14:paraId="6F35E9EF" w14:textId="77777777" w:rsidR="0081013E" w:rsidRPr="0081013E" w:rsidRDefault="003C4514" w:rsidP="0081013E">
      <w:pPr>
        <w:pStyle w:val="ListParagraph"/>
        <w:numPr>
          <w:ilvl w:val="0"/>
          <w:numId w:val="3"/>
        </w:numPr>
        <w:ind w:left="360"/>
        <w:rPr>
          <w:b/>
        </w:rPr>
      </w:pPr>
      <w:r>
        <w:rPr>
          <w:b/>
        </w:rPr>
        <w:t xml:space="preserve">Expected: Utilize </w:t>
      </w:r>
      <w:r w:rsidR="0081013E" w:rsidRPr="0081013E">
        <w:rPr>
          <w:b/>
        </w:rPr>
        <w:t>Research Administration Infrastructure</w:t>
      </w:r>
    </w:p>
    <w:p w14:paraId="025C76EE" w14:textId="77777777" w:rsidR="0081013E" w:rsidRPr="001A739D" w:rsidRDefault="00D61B28" w:rsidP="00470532">
      <w:pPr>
        <w:pStyle w:val="ListParagraph"/>
        <w:numPr>
          <w:ilvl w:val="0"/>
          <w:numId w:val="4"/>
        </w:numPr>
        <w:spacing w:before="60" w:line="240" w:lineRule="auto"/>
        <w:ind w:left="72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>Contribute to IRB Workgroup Discussions (monthly)</w:t>
      </w:r>
    </w:p>
    <w:p w14:paraId="304B3ABD" w14:textId="00AE9A83" w:rsidR="009F7307" w:rsidRPr="001A739D" w:rsidRDefault="00BE0FEE" w:rsidP="00470532">
      <w:pPr>
        <w:pStyle w:val="ListParagraph"/>
        <w:numPr>
          <w:ilvl w:val="0"/>
          <w:numId w:val="4"/>
        </w:numPr>
        <w:spacing w:before="60" w:line="240" w:lineRule="auto"/>
        <w:ind w:left="720"/>
        <w:contextualSpacing w:val="0"/>
        <w:rPr>
          <w:sz w:val="21"/>
          <w:szCs w:val="21"/>
        </w:rPr>
      </w:pPr>
      <w:r>
        <w:rPr>
          <w:sz w:val="21"/>
          <w:szCs w:val="21"/>
        </w:rPr>
        <w:t>Utilize the Smart IRB for all projects utilized a subset of the HCSRN</w:t>
      </w:r>
    </w:p>
    <w:p w14:paraId="511939EE" w14:textId="77777777" w:rsidR="003A3676" w:rsidRPr="001A739D" w:rsidRDefault="00D61B28" w:rsidP="00470532">
      <w:pPr>
        <w:pStyle w:val="ListParagraph"/>
        <w:numPr>
          <w:ilvl w:val="0"/>
          <w:numId w:val="4"/>
        </w:numPr>
        <w:spacing w:before="60" w:line="240" w:lineRule="auto"/>
        <w:ind w:left="720"/>
        <w:contextualSpacing w:val="0"/>
        <w:rPr>
          <w:sz w:val="21"/>
          <w:szCs w:val="21"/>
        </w:rPr>
      </w:pPr>
      <w:r w:rsidRPr="001A739D">
        <w:rPr>
          <w:sz w:val="21"/>
          <w:szCs w:val="21"/>
        </w:rPr>
        <w:t>Adopt the HCSRN Data Use Agreement and Subcontract templates to expedite collaboration and contracting</w:t>
      </w:r>
    </w:p>
    <w:sectPr w:rsidR="003A3676" w:rsidRPr="001A739D" w:rsidSect="00470532">
      <w:headerReference w:type="default" r:id="rId8"/>
      <w:footerReference w:type="default" r:id="rId9"/>
      <w:type w:val="continuous"/>
      <w:pgSz w:w="12240" w:h="15840"/>
      <w:pgMar w:top="1710" w:right="1440" w:bottom="990" w:left="1440" w:header="54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2B52AE" w16cid:durableId="22B80D66"/>
  <w16cid:commentId w16cid:paraId="0FC48159" w16cid:durableId="22B80DA7"/>
  <w16cid:commentId w16cid:paraId="25B2AF87" w16cid:durableId="22B80E0A"/>
  <w16cid:commentId w16cid:paraId="32144631" w16cid:durableId="22B80E4D"/>
  <w16cid:commentId w16cid:paraId="71720442" w16cid:durableId="22B80E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D4A15" w14:textId="77777777" w:rsidR="000C69DA" w:rsidRDefault="000C69DA" w:rsidP="003572EB">
      <w:pPr>
        <w:spacing w:line="240" w:lineRule="auto"/>
      </w:pPr>
      <w:r>
        <w:separator/>
      </w:r>
    </w:p>
  </w:endnote>
  <w:endnote w:type="continuationSeparator" w:id="0">
    <w:p w14:paraId="3C5C8518" w14:textId="77777777" w:rsidR="000C69DA" w:rsidRDefault="000C69DA" w:rsidP="00357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A2A55" w14:textId="73AE3FBB" w:rsidR="00162B48" w:rsidRDefault="00162B48">
    <w:pPr>
      <w:pStyle w:val="Footer"/>
    </w:pPr>
    <w:r>
      <w:ptab w:relativeTo="margin" w:alignment="center" w:leader="none"/>
    </w:r>
    <w:r>
      <w:ptab w:relativeTo="margin" w:alignment="right" w:leader="none"/>
    </w:r>
    <w:r>
      <w:t>August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9119F" w14:textId="77777777" w:rsidR="000C69DA" w:rsidRDefault="000C69DA" w:rsidP="003572EB">
      <w:pPr>
        <w:spacing w:line="240" w:lineRule="auto"/>
      </w:pPr>
      <w:r>
        <w:separator/>
      </w:r>
    </w:p>
  </w:footnote>
  <w:footnote w:type="continuationSeparator" w:id="0">
    <w:p w14:paraId="3FBDF030" w14:textId="77777777" w:rsidR="000C69DA" w:rsidRDefault="000C69DA" w:rsidP="003572EB">
      <w:pPr>
        <w:spacing w:line="240" w:lineRule="auto"/>
      </w:pPr>
      <w:r>
        <w:continuationSeparator/>
      </w:r>
    </w:p>
  </w:footnote>
  <w:footnote w:id="1">
    <w:p w14:paraId="73764F0B" w14:textId="7A713146" w:rsidR="00D70A19" w:rsidRPr="00452898" w:rsidRDefault="00D70A19" w:rsidP="00D70A19">
      <w:pPr>
        <w:pStyle w:val="FootnoteText"/>
        <w:rPr>
          <w:sz w:val="16"/>
          <w:szCs w:val="16"/>
        </w:rPr>
      </w:pPr>
      <w:r w:rsidRPr="00452898">
        <w:rPr>
          <w:rStyle w:val="FootnoteReference"/>
          <w:sz w:val="16"/>
          <w:szCs w:val="16"/>
        </w:rPr>
        <w:footnoteRef/>
      </w:r>
      <w:r w:rsidRPr="00452898">
        <w:rPr>
          <w:sz w:val="16"/>
          <w:szCs w:val="16"/>
        </w:rPr>
        <w:t xml:space="preserve"> Need to ratify the definition of “</w:t>
      </w:r>
      <w:r w:rsidRPr="005709F0">
        <w:rPr>
          <w:color w:val="0070C0"/>
          <w:sz w:val="16"/>
          <w:szCs w:val="16"/>
        </w:rPr>
        <w:t>core</w:t>
      </w:r>
      <w:r w:rsidRPr="00452898">
        <w:rPr>
          <w:sz w:val="16"/>
          <w:szCs w:val="16"/>
        </w:rPr>
        <w:t xml:space="preserve">” data areas – </w:t>
      </w:r>
      <w:r>
        <w:rPr>
          <w:sz w:val="16"/>
          <w:szCs w:val="16"/>
        </w:rPr>
        <w:t>recommended:</w:t>
      </w:r>
      <w:r w:rsidRPr="00452898">
        <w:rPr>
          <w:sz w:val="16"/>
          <w:szCs w:val="16"/>
        </w:rPr>
        <w:t xml:space="preserve"> </w:t>
      </w:r>
      <w:r w:rsidRPr="005709F0">
        <w:rPr>
          <w:color w:val="0070C0"/>
          <w:sz w:val="16"/>
          <w:szCs w:val="16"/>
        </w:rPr>
        <w:t>enrollment,</w:t>
      </w:r>
      <w:r w:rsidR="004658D4">
        <w:rPr>
          <w:color w:val="0070C0"/>
          <w:sz w:val="16"/>
          <w:szCs w:val="16"/>
        </w:rPr>
        <w:t xml:space="preserve"> census,</w:t>
      </w:r>
      <w:r w:rsidRPr="005709F0">
        <w:rPr>
          <w:color w:val="0070C0"/>
          <w:sz w:val="16"/>
          <w:szCs w:val="16"/>
        </w:rPr>
        <w:t xml:space="preserve"> demographics, vital signs, </w:t>
      </w:r>
      <w:r>
        <w:rPr>
          <w:color w:val="0070C0"/>
          <w:sz w:val="16"/>
          <w:szCs w:val="16"/>
        </w:rPr>
        <w:t xml:space="preserve">social history, </w:t>
      </w:r>
      <w:r w:rsidRPr="005709F0">
        <w:rPr>
          <w:color w:val="0070C0"/>
          <w:sz w:val="16"/>
          <w:szCs w:val="16"/>
        </w:rPr>
        <w:t>utilization, pharmacy, and lab</w:t>
      </w:r>
      <w:r w:rsidRPr="00452898">
        <w:rPr>
          <w:sz w:val="16"/>
          <w:szCs w:val="16"/>
        </w:rPr>
        <w:t xml:space="preserve">; although Census and Tumor may </w:t>
      </w:r>
      <w:r w:rsidR="00470532">
        <w:rPr>
          <w:sz w:val="16"/>
          <w:szCs w:val="16"/>
        </w:rPr>
        <w:t xml:space="preserve">be deemed </w:t>
      </w:r>
      <w:proofErr w:type="spellStart"/>
      <w:r w:rsidR="00470532">
        <w:rPr>
          <w:sz w:val="16"/>
          <w:szCs w:val="16"/>
        </w:rPr>
        <w:t>as</w:t>
      </w:r>
      <w:r w:rsidRPr="00452898">
        <w:rPr>
          <w:sz w:val="16"/>
          <w:szCs w:val="16"/>
        </w:rPr>
        <w:t>f</w:t>
      </w:r>
      <w:proofErr w:type="spellEnd"/>
      <w:r w:rsidRPr="00452898">
        <w:rPr>
          <w:sz w:val="16"/>
          <w:szCs w:val="16"/>
        </w:rPr>
        <w:t xml:space="preserve"> “core” for some sites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B6DE9" w14:textId="35B1777C" w:rsidR="003572EB" w:rsidRPr="001A739D" w:rsidRDefault="001A739D" w:rsidP="001A739D">
    <w:pPr>
      <w:pStyle w:val="Header"/>
      <w:tabs>
        <w:tab w:val="clear" w:pos="9360"/>
        <w:tab w:val="right" w:pos="9270"/>
      </w:tabs>
      <w:jc w:val="right"/>
      <w:rPr>
        <w:i/>
        <w:color w:val="8496B0" w:themeColor="text2" w:themeTint="99"/>
        <w:sz w:val="18"/>
      </w:rPr>
    </w:pPr>
    <w:r>
      <w:rPr>
        <w:b/>
        <w:i/>
        <w:color w:val="8496B0" w:themeColor="text2" w:themeTint="99"/>
        <w:sz w:val="16"/>
      </w:rPr>
      <w:tab/>
    </w:r>
    <w:r>
      <w:rPr>
        <w:b/>
        <w:i/>
        <w:color w:val="8496B0" w:themeColor="text2" w:themeTint="99"/>
        <w:sz w:val="16"/>
      </w:rPr>
      <w:tab/>
    </w:r>
    <w:r w:rsidR="00C7586B" w:rsidRPr="001A739D">
      <w:rPr>
        <w:i/>
        <w:color w:val="8496B0" w:themeColor="text2" w:themeTint="99"/>
        <w:sz w:val="18"/>
      </w:rPr>
      <w:tab/>
    </w:r>
    <w:r w:rsidR="003572EB" w:rsidRPr="001A739D">
      <w:rPr>
        <w:i/>
        <w:noProof/>
        <w:color w:val="8496B0" w:themeColor="text2" w:themeTint="99"/>
        <w:sz w:val="18"/>
      </w:rPr>
      <w:drawing>
        <wp:inline distT="0" distB="0" distL="0" distR="0" wp14:anchorId="2C342672" wp14:editId="67B3B010">
          <wp:extent cx="871855" cy="499295"/>
          <wp:effectExtent l="0" t="0" r="444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srn pi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31" b="22000"/>
                  <a:stretch/>
                </pic:blipFill>
                <pic:spPr bwMode="auto">
                  <a:xfrm>
                    <a:off x="0" y="0"/>
                    <a:ext cx="879203" cy="5035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3155"/>
    <w:multiLevelType w:val="hybridMultilevel"/>
    <w:tmpl w:val="A37A3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80C6F"/>
    <w:multiLevelType w:val="hybridMultilevel"/>
    <w:tmpl w:val="3C68D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50F4F"/>
    <w:multiLevelType w:val="hybridMultilevel"/>
    <w:tmpl w:val="8BA47B52"/>
    <w:lvl w:ilvl="0" w:tplc="6C5A567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1772A9"/>
    <w:multiLevelType w:val="hybridMultilevel"/>
    <w:tmpl w:val="0F22E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EB"/>
    <w:rsid w:val="000B6C48"/>
    <w:rsid w:val="000C1F9E"/>
    <w:rsid w:val="000C3A20"/>
    <w:rsid w:val="000C69DA"/>
    <w:rsid w:val="00126457"/>
    <w:rsid w:val="00162B48"/>
    <w:rsid w:val="001A739D"/>
    <w:rsid w:val="001B3C38"/>
    <w:rsid w:val="00303F4B"/>
    <w:rsid w:val="00343145"/>
    <w:rsid w:val="003572EB"/>
    <w:rsid w:val="003A3676"/>
    <w:rsid w:val="003C4514"/>
    <w:rsid w:val="003D336E"/>
    <w:rsid w:val="00452898"/>
    <w:rsid w:val="004658D4"/>
    <w:rsid w:val="00470532"/>
    <w:rsid w:val="005709F0"/>
    <w:rsid w:val="005C0169"/>
    <w:rsid w:val="005D714A"/>
    <w:rsid w:val="005D71E3"/>
    <w:rsid w:val="00630CE7"/>
    <w:rsid w:val="00683639"/>
    <w:rsid w:val="006F5BBC"/>
    <w:rsid w:val="0071096F"/>
    <w:rsid w:val="007478A2"/>
    <w:rsid w:val="00786F70"/>
    <w:rsid w:val="0081013E"/>
    <w:rsid w:val="008335E4"/>
    <w:rsid w:val="0086529B"/>
    <w:rsid w:val="008A2FFA"/>
    <w:rsid w:val="008F267B"/>
    <w:rsid w:val="00913EB0"/>
    <w:rsid w:val="0094555B"/>
    <w:rsid w:val="009A0888"/>
    <w:rsid w:val="009F7307"/>
    <w:rsid w:val="00A4096D"/>
    <w:rsid w:val="00A470CE"/>
    <w:rsid w:val="00AF22DF"/>
    <w:rsid w:val="00B1222C"/>
    <w:rsid w:val="00BB0FE4"/>
    <w:rsid w:val="00BB1184"/>
    <w:rsid w:val="00BE0FEE"/>
    <w:rsid w:val="00BF4F0B"/>
    <w:rsid w:val="00BF7053"/>
    <w:rsid w:val="00C038FE"/>
    <w:rsid w:val="00C16A6E"/>
    <w:rsid w:val="00C575AC"/>
    <w:rsid w:val="00C7586B"/>
    <w:rsid w:val="00D35CC2"/>
    <w:rsid w:val="00D61B28"/>
    <w:rsid w:val="00D70A19"/>
    <w:rsid w:val="00DD25EB"/>
    <w:rsid w:val="00E8779B"/>
    <w:rsid w:val="00F90877"/>
    <w:rsid w:val="00F96D69"/>
    <w:rsid w:val="00FD3F72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5C6B0"/>
  <w15:chartTrackingRefBased/>
  <w15:docId w15:val="{57564955-622D-4677-9FF4-9C28B262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2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2EB"/>
  </w:style>
  <w:style w:type="paragraph" w:styleId="Footer">
    <w:name w:val="footer"/>
    <w:basedOn w:val="Normal"/>
    <w:link w:val="FooterChar"/>
    <w:uiPriority w:val="99"/>
    <w:unhideWhenUsed/>
    <w:rsid w:val="003572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2EB"/>
  </w:style>
  <w:style w:type="paragraph" w:styleId="ListParagraph">
    <w:name w:val="List Paragraph"/>
    <w:basedOn w:val="Normal"/>
    <w:uiPriority w:val="34"/>
    <w:qFormat/>
    <w:rsid w:val="003572E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1013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013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013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1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70C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0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0C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6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A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9BB3-7CA3-41B4-B7E3-C988543B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HealthPartners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Greene</dc:creator>
  <cp:keywords/>
  <dc:description/>
  <cp:lastModifiedBy>May, Jeanette C</cp:lastModifiedBy>
  <cp:revision>3</cp:revision>
  <cp:lastPrinted>2020-07-16T18:37:00Z</cp:lastPrinted>
  <dcterms:created xsi:type="dcterms:W3CDTF">2020-08-25T19:56:00Z</dcterms:created>
  <dcterms:modified xsi:type="dcterms:W3CDTF">2021-02-08T22:03:00Z</dcterms:modified>
</cp:coreProperties>
</file>